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5E3CDE" w:rsidP="00607963">
      <w:pPr>
        <w:ind w:left="-540"/>
        <w:rPr>
          <w:b/>
          <w:sz w:val="32"/>
          <w:szCs w:val="32"/>
        </w:rPr>
      </w:pPr>
      <w:r w:rsidRPr="005E3C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5E3CDE" w:rsidP="00607963">
      <w:pPr>
        <w:rPr>
          <w:b/>
          <w:sz w:val="18"/>
          <w:szCs w:val="18"/>
        </w:rPr>
      </w:pPr>
      <w:r w:rsidRPr="005E3CDE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5E3CDE" w:rsidP="00607963">
      <w:pPr>
        <w:rPr>
          <w:b/>
          <w:sz w:val="12"/>
        </w:rPr>
      </w:pPr>
      <w:r w:rsidRPr="005E3CD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B92550" w:rsidRDefault="00607963" w:rsidP="0029012A">
      <w:pPr>
        <w:jc w:val="both"/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9012A">
        <w:t xml:space="preserve"> </w:t>
      </w:r>
      <w:r w:rsidR="002B6678" w:rsidRPr="002B6678">
        <w:t>поставки</w:t>
      </w:r>
      <w:r w:rsidRPr="002B6678">
        <w:rPr>
          <w:b/>
        </w:rPr>
        <w:t xml:space="preserve">: </w:t>
      </w:r>
      <w:r w:rsidR="00B92550">
        <w:rPr>
          <w:b/>
        </w:rPr>
        <w:t>«</w:t>
      </w:r>
      <w:r w:rsidR="00B92550">
        <w:t xml:space="preserve"> </w:t>
      </w:r>
      <w:r w:rsidR="00B92550">
        <w:rPr>
          <w:b/>
        </w:rPr>
        <w:t>Р</w:t>
      </w:r>
      <w:r w:rsidR="00B92550" w:rsidRPr="00B92550">
        <w:rPr>
          <w:b/>
        </w:rPr>
        <w:t>емонт кровель зданий Махачкалинской ТЭЦ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187DB4">
        <w:rPr>
          <w:b/>
        </w:rPr>
        <w:t xml:space="preserve">с </w:t>
      </w:r>
      <w:r w:rsidR="00D33F98">
        <w:rPr>
          <w:b/>
        </w:rPr>
        <w:t>01</w:t>
      </w:r>
      <w:r w:rsidR="00187DB4">
        <w:rPr>
          <w:b/>
        </w:rPr>
        <w:t>.0</w:t>
      </w:r>
      <w:r w:rsidR="00B92550">
        <w:rPr>
          <w:b/>
        </w:rPr>
        <w:t>6</w:t>
      </w:r>
      <w:r w:rsidR="00187DB4">
        <w:rPr>
          <w:b/>
        </w:rPr>
        <w:t>.2016г.– 3</w:t>
      </w:r>
      <w:r w:rsidR="00B92550">
        <w:rPr>
          <w:b/>
        </w:rPr>
        <w:t>0</w:t>
      </w:r>
      <w:r w:rsidR="00187DB4">
        <w:rPr>
          <w:b/>
        </w:rPr>
        <w:t>.0</w:t>
      </w:r>
      <w:r w:rsidR="00B92550">
        <w:rPr>
          <w:b/>
        </w:rPr>
        <w:t>9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B92550" w:rsidRPr="00B92550">
        <w:rPr>
          <w:b/>
        </w:rPr>
        <w:t>2 048 101</w:t>
      </w:r>
      <w:r w:rsidR="00187DB4" w:rsidRPr="00187DB4">
        <w:rPr>
          <w:b/>
        </w:rPr>
        <w:t>,</w:t>
      </w:r>
      <w:r w:rsidR="00B92550">
        <w:rPr>
          <w:b/>
        </w:rPr>
        <w:t>56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Pr="002B6678">
        <w:rPr>
          <w:b/>
        </w:rPr>
        <w:t xml:space="preserve"> рублей без учёта НДС. </w:t>
      </w:r>
    </w:p>
    <w:p w:rsidR="00187DB4" w:rsidRDefault="002B6678" w:rsidP="00187DB4">
      <w:pPr>
        <w:jc w:val="both"/>
        <w:rPr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>
        <w:t>согласно техническому заданию</w:t>
      </w:r>
      <w:r w:rsidRPr="002B6678">
        <w:rPr>
          <w:bCs/>
        </w:rPr>
        <w:t>;</w:t>
      </w:r>
    </w:p>
    <w:p w:rsidR="00187DB4" w:rsidRPr="00187DB4" w:rsidRDefault="00187DB4" w:rsidP="00187D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>условия оплаты: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607963" w:rsidRPr="002B6678" w:rsidRDefault="00607963" w:rsidP="00607963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Pr="002B6678">
        <w:rPr>
          <w:b/>
        </w:rPr>
        <w:t>3</w:t>
      </w:r>
      <w:r w:rsidRPr="002B6678">
        <w:t>. Под</w:t>
      </w:r>
      <w:r w:rsidR="002B6678">
        <w:t>ро</w:t>
      </w:r>
      <w:r w:rsidR="00D47B6F">
        <w:t>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 w:rsidR="002B6678"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607963" w:rsidRPr="002B6678" w:rsidRDefault="00607963" w:rsidP="00607963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инструкции участнику закупки (Раздел 4.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607963" w:rsidRPr="002B6678" w:rsidRDefault="00607963" w:rsidP="0060796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line="264" w:lineRule="auto"/>
        <w:ind w:left="0" w:firstLine="567"/>
        <w:jc w:val="both"/>
      </w:pP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lastRenderedPageBreak/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 w:rsidRPr="002B6678">
        <w:rPr>
          <w:lang w:val="en-US"/>
        </w:rPr>
        <w:t>omto</w:t>
      </w:r>
      <w:r w:rsidRPr="002B6678">
        <w:t>2@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607963" w:rsidRPr="002B6678" w:rsidRDefault="00607963" w:rsidP="00607963">
      <w:pPr>
        <w:jc w:val="both"/>
        <w:rPr>
          <w:u w:val="single"/>
        </w:rPr>
      </w:pPr>
      <w:r w:rsidRPr="002B6678">
        <w:rPr>
          <w:b/>
        </w:rPr>
        <w:t xml:space="preserve">       6.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607963" w:rsidRPr="002B6678" w:rsidRDefault="00607963" w:rsidP="00607963">
      <w:pPr>
        <w:jc w:val="both"/>
      </w:pPr>
    </w:p>
    <w:p w:rsidR="00607963" w:rsidRPr="002B6678" w:rsidRDefault="00607963" w:rsidP="00607963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607963" w:rsidRPr="002B6678" w:rsidRDefault="00607963" w:rsidP="00607963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2B6678">
        <w:rPr>
          <w:b/>
        </w:rPr>
        <w:t xml:space="preserve">7.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29012A">
        <w:rPr>
          <w:b/>
        </w:rPr>
        <w:t>18</w:t>
      </w:r>
      <w:r w:rsidRPr="002B6678">
        <w:rPr>
          <w:b/>
        </w:rPr>
        <w:t xml:space="preserve">» </w:t>
      </w:r>
      <w:r w:rsidR="0029012A">
        <w:rPr>
          <w:b/>
        </w:rPr>
        <w:t>мая</w:t>
      </w:r>
      <w:r w:rsidRPr="002B6678">
        <w:rPr>
          <w:b/>
        </w:rPr>
        <w:t xml:space="preserve"> 2016г. до 12.00ч. (по московскому времени).</w:t>
      </w:r>
    </w:p>
    <w:p w:rsidR="00607963" w:rsidRPr="002B6678" w:rsidRDefault="00607963" w:rsidP="00607963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8.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29012A">
        <w:rPr>
          <w:b/>
          <w:sz w:val="24"/>
          <w:szCs w:val="24"/>
        </w:rPr>
        <w:t>18</w:t>
      </w:r>
      <w:r w:rsidRPr="002B6678">
        <w:rPr>
          <w:b/>
          <w:sz w:val="24"/>
          <w:szCs w:val="24"/>
        </w:rPr>
        <w:t xml:space="preserve">» </w:t>
      </w:r>
      <w:r w:rsidR="0029012A">
        <w:rPr>
          <w:b/>
          <w:sz w:val="24"/>
          <w:szCs w:val="24"/>
        </w:rPr>
        <w:t>мая</w:t>
      </w:r>
      <w:r w:rsidR="00C23D2B" w:rsidRPr="002B6678">
        <w:rPr>
          <w:b/>
          <w:sz w:val="24"/>
          <w:szCs w:val="24"/>
        </w:rPr>
        <w:t xml:space="preserve"> 2016</w:t>
      </w:r>
      <w:r w:rsidRPr="002B6678">
        <w:rPr>
          <w:b/>
          <w:sz w:val="24"/>
          <w:szCs w:val="24"/>
        </w:rPr>
        <w:t xml:space="preserve">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 xml:space="preserve">9.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10.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607963" w:rsidRPr="002B6678" w:rsidRDefault="00607963" w:rsidP="00607963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B6678">
        <w:rPr>
          <w:b/>
          <w:sz w:val="24"/>
          <w:szCs w:val="24"/>
        </w:rPr>
        <w:t>11.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29012A" w:rsidRPr="00004A31" w:rsidRDefault="0029012A" w:rsidP="0029012A">
      <w:pPr>
        <w:jc w:val="both"/>
      </w:pPr>
      <w:r>
        <w:rPr>
          <w:b/>
        </w:rPr>
        <w:t xml:space="preserve">         </w:t>
      </w:r>
      <w:r w:rsidR="00607963" w:rsidRPr="002B6678">
        <w:rPr>
          <w:b/>
        </w:rPr>
        <w:t>12.</w:t>
      </w:r>
      <w:r w:rsidR="00607963" w:rsidRPr="002B6678">
        <w:t xml:space="preserve"> </w:t>
      </w:r>
      <w:proofErr w:type="gramStart"/>
      <w:r w:rsidRPr="00004A31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004A31">
        <w:t xml:space="preserve"> закупке (п.1.5.1.9. ч.3 Положения о закупках). </w:t>
      </w:r>
    </w:p>
    <w:p w:rsidR="00607963" w:rsidRPr="0029012A" w:rsidRDefault="00607963" w:rsidP="0029012A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 w:rsidRPr="0029012A">
        <w:rPr>
          <w:b/>
          <w:sz w:val="24"/>
          <w:szCs w:val="24"/>
        </w:rPr>
        <w:t>13.</w:t>
      </w:r>
      <w:r w:rsidRPr="0029012A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29012A">
        <w:rPr>
          <w:i/>
          <w:sz w:val="24"/>
          <w:szCs w:val="24"/>
        </w:rPr>
        <w:t xml:space="preserve"> </w:t>
      </w:r>
      <w:proofErr w:type="gramStart"/>
      <w:r w:rsidRPr="0029012A">
        <w:rPr>
          <w:sz w:val="24"/>
          <w:szCs w:val="24"/>
        </w:rPr>
        <w:t>с даты направления</w:t>
      </w:r>
      <w:proofErr w:type="gramEnd"/>
      <w:r w:rsidRPr="0029012A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607963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111525"/>
    <w:rsid w:val="001677A9"/>
    <w:rsid w:val="00187DB4"/>
    <w:rsid w:val="001951FD"/>
    <w:rsid w:val="001F0C3E"/>
    <w:rsid w:val="002440E9"/>
    <w:rsid w:val="0025173C"/>
    <w:rsid w:val="0029012A"/>
    <w:rsid w:val="002B6678"/>
    <w:rsid w:val="00333630"/>
    <w:rsid w:val="003E7DEE"/>
    <w:rsid w:val="00422164"/>
    <w:rsid w:val="00455041"/>
    <w:rsid w:val="004A6B60"/>
    <w:rsid w:val="005E3CDE"/>
    <w:rsid w:val="00607963"/>
    <w:rsid w:val="00645136"/>
    <w:rsid w:val="00720F96"/>
    <w:rsid w:val="0075562D"/>
    <w:rsid w:val="007F6A94"/>
    <w:rsid w:val="008F180F"/>
    <w:rsid w:val="00A61BD7"/>
    <w:rsid w:val="00B4312C"/>
    <w:rsid w:val="00B92550"/>
    <w:rsid w:val="00C23D2B"/>
    <w:rsid w:val="00C2429F"/>
    <w:rsid w:val="00C265B1"/>
    <w:rsid w:val="00C459EC"/>
    <w:rsid w:val="00CB0603"/>
    <w:rsid w:val="00D33F98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3</cp:revision>
  <dcterms:created xsi:type="dcterms:W3CDTF">2016-04-05T07:09:00Z</dcterms:created>
  <dcterms:modified xsi:type="dcterms:W3CDTF">2016-04-27T08:05:00Z</dcterms:modified>
</cp:coreProperties>
</file>